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7B0" w:rsidRDefault="00DD4847">
      <w:pPr>
        <w:pStyle w:val="Default"/>
        <w:tabs>
          <w:tab w:val="left" w:pos="2258"/>
        </w:tabs>
        <w:overflowPunct w:val="0"/>
        <w:jc w:val="both"/>
        <w:rPr>
          <w:rFonts w:ascii="標楷體" w:eastAsia="標楷體" w:hAnsi="標楷體" w:cs="標楷體"/>
          <w:color w:val="111111"/>
          <w:sz w:val="40"/>
          <w:szCs w:val="40"/>
        </w:rPr>
      </w:pPr>
      <w:bookmarkStart w:id="0" w:name="_GoBack"/>
      <w:r>
        <w:rPr>
          <w:rFonts w:ascii="標楷體" w:eastAsia="標楷體" w:hAnsi="標楷體" w:cs="標楷體"/>
          <w:color w:val="111111"/>
          <w:sz w:val="40"/>
          <w:szCs w:val="40"/>
        </w:rPr>
        <w:t>參加國際數理學科奧林匹亞競賽及國際科學展覽成績優良學生升學優待辦法部分條文修正條文</w:t>
      </w:r>
    </w:p>
    <w:bookmarkEnd w:id="0"/>
    <w:p w:rsidR="005777B0" w:rsidRDefault="00DD4847">
      <w:pPr>
        <w:pStyle w:val="Standard"/>
        <w:tabs>
          <w:tab w:val="left" w:pos="2386"/>
        </w:tabs>
        <w:overflowPunct w:val="0"/>
        <w:ind w:left="826" w:hanging="826"/>
        <w:jc w:val="both"/>
        <w:rPr>
          <w:rFonts w:ascii="標楷體" w:eastAsia="標楷體" w:hAnsi="標楷體" w:cs="標楷體"/>
          <w:color w:val="111111"/>
          <w:sz w:val="28"/>
          <w:szCs w:val="28"/>
        </w:rPr>
      </w:pPr>
      <w:r>
        <w:rPr>
          <w:rFonts w:ascii="標楷體" w:eastAsia="標楷體" w:hAnsi="標楷體" w:cs="標楷體"/>
          <w:color w:val="111111"/>
          <w:sz w:val="28"/>
          <w:szCs w:val="28"/>
        </w:rPr>
        <w:t>第二條</w:t>
      </w:r>
      <w:r>
        <w:rPr>
          <w:rFonts w:ascii="標楷體" w:eastAsia="標楷體" w:hAnsi="標楷體" w:cs="標楷體"/>
          <w:color w:val="111111"/>
          <w:sz w:val="28"/>
          <w:szCs w:val="28"/>
        </w:rPr>
        <w:t xml:space="preserve">    </w:t>
      </w:r>
      <w:r>
        <w:rPr>
          <w:rFonts w:ascii="標楷體" w:eastAsia="標楷體" w:hAnsi="標楷體" w:cs="標楷體"/>
          <w:color w:val="111111"/>
          <w:sz w:val="28"/>
          <w:szCs w:val="28"/>
        </w:rPr>
        <w:t>本辦法用詞，定義如下：</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一、國際數理學科奧林匹亞競賽，指下列競賽：</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一</w:t>
      </w:r>
      <w:r>
        <w:rPr>
          <w:rFonts w:ascii="標楷體" w:eastAsia="標楷體" w:hAnsi="標楷體" w:cs="標楷體"/>
          <w:color w:val="111111"/>
          <w:sz w:val="28"/>
          <w:szCs w:val="28"/>
        </w:rPr>
        <w:t>)</w:t>
      </w:r>
      <w:r>
        <w:rPr>
          <w:rFonts w:ascii="標楷體" w:eastAsia="標楷體" w:hAnsi="標楷體" w:cs="標楷體"/>
          <w:color w:val="111111"/>
          <w:sz w:val="28"/>
          <w:szCs w:val="28"/>
        </w:rPr>
        <w:t>國際數學、物理、化學、生物、地球科學及資訊奧林匹亞競賽。</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二</w:t>
      </w:r>
      <w:r>
        <w:rPr>
          <w:rFonts w:ascii="標楷體" w:eastAsia="標楷體" w:hAnsi="標楷體" w:cs="標楷體"/>
          <w:color w:val="111111"/>
          <w:sz w:val="28"/>
          <w:szCs w:val="28"/>
        </w:rPr>
        <w:t>)</w:t>
      </w:r>
      <w:r>
        <w:rPr>
          <w:rFonts w:ascii="標楷體" w:eastAsia="標楷體" w:hAnsi="標楷體" w:cs="標楷體"/>
          <w:color w:val="111111"/>
          <w:sz w:val="28"/>
          <w:szCs w:val="28"/>
        </w:rPr>
        <w:t>亞太數學及亞洲物理奧林匹亞競賽。</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三</w:t>
      </w:r>
      <w:r>
        <w:rPr>
          <w:rFonts w:ascii="標楷體" w:eastAsia="標楷體" w:hAnsi="標楷體" w:cs="標楷體"/>
          <w:color w:val="111111"/>
          <w:sz w:val="28"/>
          <w:szCs w:val="28"/>
        </w:rPr>
        <w:t>)</w:t>
      </w:r>
      <w:r>
        <w:rPr>
          <w:rFonts w:ascii="標楷體" w:eastAsia="標楷體" w:hAnsi="標楷體" w:cs="標楷體"/>
          <w:color w:val="111111"/>
          <w:sz w:val="28"/>
          <w:szCs w:val="28"/>
        </w:rPr>
        <w:t>國際國中科學奧林匹亞競賽。</w:t>
      </w:r>
    </w:p>
    <w:p w:rsidR="005777B0" w:rsidRDefault="00DD4847">
      <w:pPr>
        <w:pStyle w:val="Standard"/>
        <w:overflowPunct w:val="0"/>
        <w:ind w:left="2551" w:hanging="567"/>
        <w:jc w:val="both"/>
      </w:pPr>
      <w:r>
        <w:rPr>
          <w:rFonts w:ascii="標楷體" w:eastAsia="標楷體" w:hAnsi="標楷體" w:cs="標楷體"/>
          <w:color w:val="111111"/>
          <w:sz w:val="28"/>
          <w:szCs w:val="28"/>
        </w:rPr>
        <w:t>(</w:t>
      </w:r>
      <w:r>
        <w:rPr>
          <w:rFonts w:ascii="標楷體" w:eastAsia="標楷體" w:hAnsi="標楷體" w:cs="標楷體"/>
          <w:color w:val="111111"/>
          <w:sz w:val="28"/>
          <w:szCs w:val="28"/>
        </w:rPr>
        <w:t>四</w:t>
      </w:r>
      <w:r>
        <w:rPr>
          <w:rFonts w:ascii="標楷體" w:eastAsia="標楷體" w:hAnsi="標楷體" w:cs="標楷體"/>
          <w:color w:val="111111"/>
          <w:sz w:val="28"/>
          <w:szCs w:val="28"/>
        </w:rPr>
        <w:t>)</w:t>
      </w:r>
      <w:r>
        <w:rPr>
          <w:rFonts w:ascii="標楷體" w:eastAsia="標楷體" w:hAnsi="標楷體" w:cs="標楷體"/>
          <w:color w:val="111111"/>
          <w:sz w:val="28"/>
          <w:szCs w:val="28"/>
        </w:rPr>
        <w:t>歐洲女子數學奧林匹亞競賽。</w:t>
      </w:r>
    </w:p>
    <w:p w:rsidR="005777B0" w:rsidRDefault="00DD4847">
      <w:pPr>
        <w:pStyle w:val="Standard"/>
        <w:overflowPunct w:val="0"/>
        <w:ind w:left="2551" w:hanging="567"/>
        <w:jc w:val="both"/>
      </w:pPr>
      <w:r>
        <w:rPr>
          <w:rFonts w:ascii="標楷體" w:eastAsia="標楷體" w:hAnsi="標楷體" w:cs="標楷體"/>
          <w:color w:val="111111"/>
          <w:sz w:val="28"/>
          <w:szCs w:val="28"/>
        </w:rPr>
        <w:t>(</w:t>
      </w:r>
      <w:r>
        <w:rPr>
          <w:rFonts w:ascii="標楷體" w:eastAsia="標楷體" w:hAnsi="標楷體" w:cs="標楷體"/>
          <w:color w:val="111111"/>
          <w:sz w:val="28"/>
          <w:szCs w:val="28"/>
        </w:rPr>
        <w:t>五</w:t>
      </w:r>
      <w:r>
        <w:rPr>
          <w:rFonts w:ascii="標楷體" w:eastAsia="標楷體" w:hAnsi="標楷體" w:cs="標楷體"/>
          <w:color w:val="111111"/>
          <w:sz w:val="28"/>
          <w:szCs w:val="28"/>
        </w:rPr>
        <w:t>)</w:t>
      </w:r>
      <w:r>
        <w:rPr>
          <w:rFonts w:ascii="標楷體" w:eastAsia="標楷體" w:hAnsi="標楷體" w:cs="標楷體"/>
          <w:color w:val="111111"/>
          <w:sz w:val="28"/>
          <w:szCs w:val="28"/>
        </w:rPr>
        <w:t>其他經教育部（以下簡稱本部）認定之國際數理學科奧林匹亞競賽。</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二、國際科學展覽：指由國立臺灣科學教育館選派參加之美國國際科技展覽會</w:t>
      </w:r>
      <w:r>
        <w:rPr>
          <w:rFonts w:ascii="標楷體" w:eastAsia="標楷體" w:hAnsi="標楷體" w:cs="標楷體"/>
          <w:color w:val="111111"/>
          <w:sz w:val="28"/>
          <w:szCs w:val="28"/>
        </w:rPr>
        <w:t>(International Science and Engineering Fair, ISEF)</w:t>
      </w:r>
      <w:r>
        <w:rPr>
          <w:rFonts w:ascii="標楷體" w:eastAsia="標楷體" w:hAnsi="標楷體" w:cs="標楷體"/>
          <w:color w:val="111111"/>
          <w:sz w:val="28"/>
          <w:szCs w:val="28"/>
        </w:rPr>
        <w:t>及其他經本部認定之國際科學展覽。</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三、升學優待：指以名額外加方式，保送或推薦升學。</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四、高級中等教育階段學生：指高級中等學校學生及參與高級中等教育階段非學校型態實驗教育未取得學籍學生。</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五、大學：指大學、科技大學或技術學院四年制。</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六、各本學系：指與參賽項目相同之各本學系。</w:t>
      </w:r>
    </w:p>
    <w:p w:rsidR="005777B0" w:rsidRDefault="00DD4847">
      <w:pPr>
        <w:pStyle w:val="Default"/>
        <w:tabs>
          <w:tab w:val="left" w:pos="2258"/>
        </w:tabs>
        <w:overflowPunct w:val="0"/>
        <w:ind w:left="840" w:hanging="840"/>
        <w:jc w:val="both"/>
        <w:rPr>
          <w:rFonts w:ascii="標楷體" w:eastAsia="標楷體" w:hAnsi="標楷體" w:cs="標楷體"/>
          <w:color w:val="111111"/>
          <w:sz w:val="28"/>
          <w:szCs w:val="28"/>
        </w:rPr>
      </w:pPr>
      <w:r>
        <w:rPr>
          <w:rFonts w:ascii="標楷體" w:eastAsia="標楷體" w:hAnsi="標楷體" w:cs="標楷體"/>
          <w:color w:val="111111"/>
          <w:sz w:val="28"/>
          <w:szCs w:val="28"/>
        </w:rPr>
        <w:t>第三條</w:t>
      </w:r>
      <w:r>
        <w:rPr>
          <w:rFonts w:ascii="標楷體" w:eastAsia="標楷體" w:hAnsi="標楷體" w:cs="標楷體"/>
          <w:color w:val="111111"/>
          <w:sz w:val="28"/>
          <w:szCs w:val="28"/>
        </w:rPr>
        <w:t xml:space="preserve">    </w:t>
      </w:r>
      <w:r>
        <w:rPr>
          <w:rFonts w:ascii="標楷體" w:eastAsia="標楷體" w:hAnsi="標楷體" w:cs="標楷體"/>
          <w:color w:val="111111"/>
          <w:sz w:val="28"/>
          <w:szCs w:val="28"/>
        </w:rPr>
        <w:t>高級中等教育階段學生代表我國參加國際數理學科奧林匹亞競賽成績優良，且符合入學規定者，得依下列規定申請依其志願保送或推薦升入大學就讀：</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一、獲得國際數學、物理、化學、生物、地球科學及資訊奧林匹亞競賽金牌獎者，保送大學各本學系或理、工、醫、農、生命科學、電機及資訊等相關學院各學系，或推薦入大學各學系。</w:t>
      </w:r>
    </w:p>
    <w:p w:rsidR="005777B0" w:rsidRDefault="00DD4847">
      <w:pPr>
        <w:pStyle w:val="Standard"/>
        <w:overflowPunct w:val="0"/>
        <w:ind w:left="1984" w:hanging="566"/>
        <w:jc w:val="both"/>
        <w:rPr>
          <w:rFonts w:ascii="標楷體" w:eastAsia="標楷體" w:hAnsi="標楷體" w:cs="標楷體"/>
          <w:color w:val="111111"/>
          <w:sz w:val="28"/>
          <w:szCs w:val="28"/>
        </w:rPr>
      </w:pPr>
      <w:r>
        <w:rPr>
          <w:rFonts w:ascii="標楷體" w:eastAsia="標楷體" w:hAnsi="標楷體" w:cs="標楷體"/>
          <w:color w:val="111111"/>
          <w:sz w:val="28"/>
          <w:szCs w:val="28"/>
        </w:rPr>
        <w:t>二、獲得國際數學、物理、化學、生物、地球科學及資訊奧林匹亞競賽銀牌獎者，保送大學各本學系或理、工、農、生命科學、電機及資訊等相關學院各學系，或推薦入大學各學系。</w:t>
      </w:r>
    </w:p>
    <w:p w:rsidR="005777B0" w:rsidRDefault="00DD4847">
      <w:pPr>
        <w:pStyle w:val="Standard"/>
        <w:overflowPunct w:val="0"/>
        <w:ind w:left="1984" w:hanging="566"/>
        <w:jc w:val="both"/>
      </w:pPr>
      <w:r>
        <w:rPr>
          <w:rFonts w:ascii="標楷體" w:eastAsia="標楷體" w:hAnsi="標楷體" w:cs="標楷體"/>
          <w:color w:val="111111"/>
          <w:sz w:val="28"/>
          <w:szCs w:val="28"/>
        </w:rPr>
        <w:t>三、獲得國際數學、物理、化學、生物、</w:t>
      </w:r>
      <w:r>
        <w:rPr>
          <w:rFonts w:ascii="標楷體" w:eastAsia="標楷體" w:hAnsi="標楷體" w:cs="標楷體"/>
          <w:color w:val="111111"/>
          <w:sz w:val="28"/>
          <w:szCs w:val="28"/>
        </w:rPr>
        <w:t>地球科學及資訊奧林匹亞競賽銅牌獎、榮譽獎、亞太數學奧林匹亞競賽金牌獎、歐哈囉蘭（</w:t>
      </w:r>
      <w:r>
        <w:rPr>
          <w:rFonts w:ascii="標楷體" w:eastAsia="標楷體" w:hAnsi="標楷體" w:cs="標楷體"/>
          <w:color w:val="111111"/>
          <w:sz w:val="28"/>
          <w:szCs w:val="28"/>
        </w:rPr>
        <w:t>O’Halloran</w:t>
      </w:r>
      <w:r>
        <w:rPr>
          <w:rFonts w:ascii="標楷體" w:eastAsia="標楷體" w:hAnsi="標楷體" w:cs="標楷體"/>
          <w:color w:val="111111"/>
          <w:sz w:val="28"/>
          <w:szCs w:val="28"/>
        </w:rPr>
        <w:t>）獎、銀牌獎、銅牌獎或亞洲物理、歐洲女子數學奧林匹亞競賽金牌獎、銀牌獎、銅牌獎者，保送大學各本學系，或推薦入大學各學系。</w:t>
      </w:r>
    </w:p>
    <w:p w:rsidR="005777B0" w:rsidRDefault="00DD4847">
      <w:pPr>
        <w:pStyle w:val="Standard"/>
        <w:overflowPunct w:val="0"/>
        <w:ind w:left="1984" w:hanging="566"/>
        <w:jc w:val="both"/>
      </w:pPr>
      <w:r>
        <w:rPr>
          <w:rFonts w:ascii="標楷體" w:eastAsia="標楷體" w:hAnsi="標楷體" w:cs="標楷體"/>
          <w:color w:val="111111"/>
          <w:sz w:val="28"/>
          <w:szCs w:val="28"/>
        </w:rPr>
        <w:lastRenderedPageBreak/>
        <w:t>四、獲得亞太數學、亞洲物理或歐洲女子數學奧林匹亞競賽榮譽獎，或參加國際數理學科奧林匹亞競賽選訓決賽完成結訓並獲選訓工作委員會推薦（名額以前百分之五十為原則）者，推薦入大學各本學系。</w:t>
      </w:r>
    </w:p>
    <w:p w:rsidR="005777B0" w:rsidRDefault="00DD4847">
      <w:pPr>
        <w:pStyle w:val="Default"/>
        <w:tabs>
          <w:tab w:val="left" w:pos="2268"/>
        </w:tabs>
        <w:overflowPunct w:val="0"/>
        <w:ind w:left="850" w:hanging="850"/>
        <w:jc w:val="both"/>
      </w:pPr>
      <w:r>
        <w:rPr>
          <w:rFonts w:ascii="標楷體" w:eastAsia="標楷體" w:hAnsi="標楷體" w:cs="標楷體"/>
          <w:color w:val="111111"/>
          <w:sz w:val="28"/>
          <w:szCs w:val="28"/>
        </w:rPr>
        <w:t>第五條　　高級中等教育階段學生有下列情形之一，且符合入學規定者，得申請依其志願保送專科學校二年制就讀：</w:t>
      </w:r>
    </w:p>
    <w:p w:rsidR="005777B0" w:rsidRDefault="00DD4847">
      <w:pPr>
        <w:pStyle w:val="Standard"/>
        <w:overflowPunct w:val="0"/>
        <w:ind w:left="1984" w:hanging="566"/>
        <w:jc w:val="both"/>
      </w:pPr>
      <w:r>
        <w:rPr>
          <w:rFonts w:ascii="標楷體" w:eastAsia="標楷體" w:hAnsi="標楷體" w:cs="標楷體"/>
          <w:color w:val="111111"/>
          <w:sz w:val="28"/>
          <w:szCs w:val="28"/>
        </w:rPr>
        <w:t>一、</w:t>
      </w:r>
      <w:r>
        <w:rPr>
          <w:rFonts w:ascii="標楷體" w:eastAsia="標楷體" w:hAnsi="標楷體" w:cs="標楷體"/>
          <w:color w:val="111111"/>
          <w:sz w:val="28"/>
          <w:szCs w:val="28"/>
        </w:rPr>
        <w:t>參加亞太數學奧林匹亞競賽或歐洲女子數學奧林匹亞競賽獲獎。</w:t>
      </w:r>
    </w:p>
    <w:p w:rsidR="005777B0" w:rsidRDefault="00DD4847">
      <w:pPr>
        <w:pStyle w:val="Standard"/>
        <w:overflowPunct w:val="0"/>
        <w:ind w:left="1984" w:hanging="566"/>
        <w:jc w:val="both"/>
      </w:pPr>
      <w:r>
        <w:rPr>
          <w:rFonts w:ascii="標楷體" w:eastAsia="標楷體" w:hAnsi="標楷體" w:cs="標楷體"/>
          <w:color w:val="111111"/>
          <w:sz w:val="28"/>
          <w:szCs w:val="28"/>
        </w:rPr>
        <w:t>二、參加前款以外之國際數理學科奧林匹亞競賽選訓決賽完成結訓。</w:t>
      </w:r>
    </w:p>
    <w:p w:rsidR="005777B0" w:rsidRDefault="00DD4847">
      <w:pPr>
        <w:pStyle w:val="Standard"/>
        <w:overflowPunct w:val="0"/>
        <w:ind w:left="1984" w:hanging="566"/>
        <w:jc w:val="both"/>
      </w:pPr>
      <w:r>
        <w:rPr>
          <w:rFonts w:ascii="標楷體" w:eastAsia="標楷體" w:hAnsi="標楷體" w:cs="標楷體"/>
          <w:color w:val="111111"/>
          <w:sz w:val="28"/>
          <w:szCs w:val="28"/>
        </w:rPr>
        <w:t>三、獲選國際科學展覽正選代表。</w:t>
      </w:r>
    </w:p>
    <w:p w:rsidR="005777B0" w:rsidRDefault="00DD4847">
      <w:pPr>
        <w:pStyle w:val="Default"/>
        <w:tabs>
          <w:tab w:val="left" w:pos="2268"/>
        </w:tabs>
        <w:overflowPunct w:val="0"/>
        <w:ind w:left="850" w:hanging="850"/>
        <w:jc w:val="both"/>
      </w:pPr>
      <w:r>
        <w:rPr>
          <w:rFonts w:ascii="標楷體" w:eastAsia="標楷體" w:hAnsi="標楷體" w:cs="標楷體"/>
          <w:color w:val="111111"/>
          <w:sz w:val="28"/>
          <w:szCs w:val="28"/>
        </w:rPr>
        <w:t>第六條　　國民中學學生有下列情形之一，且符合入學規定者，得申請依其志願保送高級中等學校或專科學校五年制就讀：</w:t>
      </w:r>
    </w:p>
    <w:p w:rsidR="005777B0" w:rsidRDefault="00DD4847">
      <w:pPr>
        <w:pStyle w:val="Standard"/>
        <w:overflowPunct w:val="0"/>
        <w:ind w:left="1984" w:hanging="566"/>
        <w:jc w:val="both"/>
      </w:pPr>
      <w:r>
        <w:rPr>
          <w:rFonts w:ascii="標楷體" w:eastAsia="標楷體" w:hAnsi="標楷體" w:cs="標楷體"/>
          <w:color w:val="111111"/>
          <w:sz w:val="28"/>
          <w:szCs w:val="28"/>
        </w:rPr>
        <w:t>一、參加亞太數學奧林匹亞競賽或歐洲女子數學奧林匹亞競賽獲獎。</w:t>
      </w:r>
    </w:p>
    <w:p w:rsidR="005777B0" w:rsidRDefault="00DD4847">
      <w:pPr>
        <w:pStyle w:val="Standard"/>
        <w:overflowPunct w:val="0"/>
        <w:ind w:left="1984" w:hanging="566"/>
        <w:jc w:val="both"/>
      </w:pPr>
      <w:r>
        <w:rPr>
          <w:rFonts w:ascii="標楷體" w:eastAsia="標楷體" w:hAnsi="標楷體" w:cs="標楷體"/>
          <w:color w:val="111111"/>
          <w:sz w:val="28"/>
          <w:szCs w:val="28"/>
        </w:rPr>
        <w:t>二、參加前款以外之國際數理學科奧林匹亞競賽選訓決賽完成結訓。</w:t>
      </w:r>
    </w:p>
    <w:p w:rsidR="005777B0" w:rsidRDefault="00DD4847">
      <w:pPr>
        <w:pStyle w:val="Standard"/>
        <w:overflowPunct w:val="0"/>
        <w:ind w:left="1984" w:hanging="566"/>
        <w:jc w:val="both"/>
      </w:pPr>
      <w:r>
        <w:rPr>
          <w:rFonts w:ascii="標楷體" w:eastAsia="標楷體" w:hAnsi="標楷體" w:cs="標楷體"/>
          <w:color w:val="111111"/>
          <w:sz w:val="28"/>
          <w:szCs w:val="28"/>
        </w:rPr>
        <w:t>三、獲選國際科學展覽正選代表。</w:t>
      </w:r>
    </w:p>
    <w:p w:rsidR="005777B0" w:rsidRDefault="00DD4847">
      <w:pPr>
        <w:pStyle w:val="Default"/>
        <w:tabs>
          <w:tab w:val="left" w:pos="2268"/>
        </w:tabs>
        <w:overflowPunct w:val="0"/>
        <w:ind w:left="850" w:hanging="794"/>
        <w:jc w:val="both"/>
        <w:rPr>
          <w:rFonts w:ascii="標楷體" w:eastAsia="標楷體" w:hAnsi="標楷體" w:cs="標楷體"/>
          <w:color w:val="111111"/>
          <w:sz w:val="28"/>
          <w:szCs w:val="28"/>
        </w:rPr>
      </w:pPr>
      <w:r>
        <w:rPr>
          <w:rFonts w:ascii="標楷體" w:eastAsia="標楷體" w:hAnsi="標楷體" w:cs="標楷體"/>
          <w:color w:val="111111"/>
          <w:sz w:val="28"/>
          <w:szCs w:val="28"/>
        </w:rPr>
        <w:t>第八條　　參加國際數理學科奧林匹亞競賽成績優良之學生，得由本部依下列規定發給獎學金：</w:t>
      </w:r>
    </w:p>
    <w:p w:rsidR="005777B0" w:rsidRDefault="00DD4847">
      <w:pPr>
        <w:pStyle w:val="Standard"/>
        <w:overflowPunct w:val="0"/>
        <w:ind w:left="1984" w:hanging="566"/>
        <w:jc w:val="both"/>
      </w:pPr>
      <w:r>
        <w:rPr>
          <w:rFonts w:ascii="標楷體" w:eastAsia="標楷體" w:hAnsi="標楷體" w:cs="標楷體"/>
          <w:color w:val="111111"/>
          <w:sz w:val="28"/>
          <w:szCs w:val="28"/>
        </w:rPr>
        <w:t>一、獲</w:t>
      </w:r>
      <w:r>
        <w:rPr>
          <w:rFonts w:ascii="標楷體" w:eastAsia="標楷體" w:hAnsi="標楷體" w:cs="標楷體"/>
          <w:color w:val="111111"/>
          <w:sz w:val="28"/>
          <w:szCs w:val="28"/>
        </w:rPr>
        <w:t>得國際數理學科奧林匹亞競賽（不包括亞太數學、亞洲物理、歐洲女子數學奧林匹亞競賽）金牌獎者，新臺幣二十萬元。</w:t>
      </w:r>
    </w:p>
    <w:p w:rsidR="005777B0" w:rsidRDefault="00DD4847">
      <w:pPr>
        <w:pStyle w:val="Standard"/>
        <w:overflowPunct w:val="0"/>
        <w:ind w:left="1984" w:hanging="566"/>
        <w:jc w:val="both"/>
      </w:pPr>
      <w:r>
        <w:rPr>
          <w:rFonts w:ascii="標楷體" w:eastAsia="標楷體" w:hAnsi="標楷體" w:cs="標楷體"/>
          <w:color w:val="111111"/>
          <w:sz w:val="28"/>
          <w:szCs w:val="28"/>
        </w:rPr>
        <w:t>二、獲得國際數理學科奧林匹亞競賽（不包括亞太數學、亞洲物理、歐洲女子數學奧林匹亞競賽）銀牌獎、亞太數學奧林匹亞競賽金牌獎、歐哈囉蘭（</w:t>
      </w:r>
      <w:r>
        <w:rPr>
          <w:rFonts w:ascii="標楷體" w:eastAsia="標楷體" w:hAnsi="標楷體" w:cs="標楷體"/>
          <w:color w:val="111111"/>
          <w:sz w:val="28"/>
          <w:szCs w:val="28"/>
        </w:rPr>
        <w:t>O'Halloran</w:t>
      </w:r>
      <w:r>
        <w:rPr>
          <w:rFonts w:ascii="標楷體" w:eastAsia="標楷體" w:hAnsi="標楷體" w:cs="標楷體"/>
          <w:color w:val="111111"/>
          <w:sz w:val="28"/>
          <w:szCs w:val="28"/>
        </w:rPr>
        <w:t>）獎、亞洲物理、歐洲女子數學奧林匹亞競賽金牌獎者，新臺幣十萬元。</w:t>
      </w:r>
    </w:p>
    <w:p w:rsidR="005777B0" w:rsidRDefault="00DD4847">
      <w:pPr>
        <w:pStyle w:val="Standard"/>
        <w:overflowPunct w:val="0"/>
        <w:ind w:left="1984" w:hanging="566"/>
        <w:jc w:val="both"/>
      </w:pPr>
      <w:r>
        <w:rPr>
          <w:rFonts w:ascii="標楷體" w:eastAsia="標楷體" w:hAnsi="標楷體" w:cs="標楷體"/>
          <w:color w:val="111111"/>
          <w:sz w:val="28"/>
          <w:szCs w:val="28"/>
        </w:rPr>
        <w:t>三、獲得國際數理學科奧林匹亞競賽（不包括亞太數學、亞洲物理、歐洲女子數學奧林匹亞競賽）銅牌獎、榮譽獎、亞太數學奧林匹亞競賽銀牌獎、亞洲物理、歐洲女子數學奧林匹亞競賽銀牌獎者，新臺幣五萬元。</w:t>
      </w:r>
    </w:p>
    <w:p w:rsidR="005777B0" w:rsidRDefault="00DD4847">
      <w:pPr>
        <w:pStyle w:val="Standard"/>
        <w:tabs>
          <w:tab w:val="left" w:pos="1843"/>
        </w:tabs>
        <w:overflowPunct w:val="0"/>
        <w:ind w:left="850" w:firstLine="567"/>
        <w:jc w:val="both"/>
        <w:rPr>
          <w:rFonts w:ascii="標楷體" w:eastAsia="標楷體" w:hAnsi="標楷體" w:cs="標楷體"/>
          <w:color w:val="111111"/>
          <w:sz w:val="28"/>
          <w:szCs w:val="28"/>
        </w:rPr>
      </w:pPr>
      <w:r>
        <w:rPr>
          <w:rFonts w:ascii="標楷體" w:eastAsia="標楷體" w:hAnsi="標楷體" w:cs="標楷體"/>
          <w:color w:val="111111"/>
          <w:sz w:val="28"/>
          <w:szCs w:val="28"/>
        </w:rPr>
        <w:t>同一年度獲得同一學科或不同學科二種以上獎項者，應擇優以最高獲獎獎額辦理之。</w:t>
      </w:r>
    </w:p>
    <w:p w:rsidR="005777B0" w:rsidRDefault="00DD4847">
      <w:pPr>
        <w:pStyle w:val="Default"/>
        <w:tabs>
          <w:tab w:val="left" w:pos="2258"/>
        </w:tabs>
        <w:overflowPunct w:val="0"/>
        <w:ind w:left="1134" w:hanging="1077"/>
        <w:jc w:val="both"/>
      </w:pPr>
      <w:r>
        <w:rPr>
          <w:rFonts w:ascii="標楷體" w:eastAsia="標楷體" w:hAnsi="標楷體" w:cs="標楷體"/>
          <w:color w:val="111111"/>
          <w:sz w:val="28"/>
          <w:szCs w:val="28"/>
        </w:rPr>
        <w:t>第十一條　　高級中等教育階段學生代表我國參加國際數學、物理、化學、生物、地球科學及資訊奧林匹亞競賽、亞太數學、亞洲物理、歐洲女子數學奧林匹亞競賽及美國國際科技展覽會，符合第八條第一項或第九條者，於其就讀國內大學數理相關學系學</w:t>
      </w:r>
      <w:r>
        <w:rPr>
          <w:rFonts w:ascii="標楷體" w:eastAsia="標楷體" w:hAnsi="標楷體" w:cs="標楷體"/>
          <w:color w:val="111111"/>
          <w:sz w:val="28"/>
          <w:szCs w:val="28"/>
        </w:rPr>
        <w:lastRenderedPageBreak/>
        <w:t>士學位期間，依下列規定予以獎勵及補助：</w:t>
      </w:r>
    </w:p>
    <w:p w:rsidR="005777B0" w:rsidRDefault="00DD4847">
      <w:pPr>
        <w:pStyle w:val="Standard"/>
        <w:overflowPunct w:val="0"/>
        <w:ind w:left="1984" w:hanging="566"/>
        <w:jc w:val="both"/>
      </w:pPr>
      <w:r>
        <w:rPr>
          <w:rFonts w:ascii="標楷體" w:eastAsia="標楷體" w:hAnsi="標楷體" w:cs="標楷體"/>
          <w:color w:val="111111"/>
          <w:sz w:val="28"/>
          <w:szCs w:val="28"/>
        </w:rPr>
        <w:t>一、每學年度名列該學系該年級前三名者，每一學年發給新臺幣十二萬元之獎學金。</w:t>
      </w:r>
    </w:p>
    <w:p w:rsidR="005777B0" w:rsidRDefault="00DD4847">
      <w:pPr>
        <w:pStyle w:val="Standard"/>
        <w:overflowPunct w:val="0"/>
        <w:ind w:left="1984" w:hanging="566"/>
        <w:jc w:val="both"/>
      </w:pPr>
      <w:r>
        <w:rPr>
          <w:rFonts w:ascii="標楷體" w:eastAsia="標楷體" w:hAnsi="標楷體" w:cs="標楷體"/>
          <w:color w:val="111111"/>
          <w:sz w:val="28"/>
          <w:szCs w:val="28"/>
        </w:rPr>
        <w:t>二、出席國際學術會議並發表論文者，依下列規定補助：</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一</w:t>
      </w:r>
      <w:r>
        <w:rPr>
          <w:rFonts w:ascii="標楷體" w:eastAsia="標楷體" w:hAnsi="標楷體" w:cs="標楷體"/>
          <w:color w:val="111111"/>
          <w:sz w:val="28"/>
          <w:szCs w:val="28"/>
        </w:rPr>
        <w:t>)</w:t>
      </w:r>
      <w:r>
        <w:rPr>
          <w:rFonts w:ascii="標楷體" w:eastAsia="標楷體" w:hAnsi="標楷體" w:cs="標楷體"/>
          <w:color w:val="111111"/>
          <w:sz w:val="28"/>
          <w:szCs w:val="28"/>
        </w:rPr>
        <w:t>來回經濟艙機票、生活費及註冊費，每年以一次為限。</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二</w:t>
      </w:r>
      <w:r>
        <w:rPr>
          <w:rFonts w:ascii="標楷體" w:eastAsia="標楷體" w:hAnsi="標楷體" w:cs="標楷體"/>
          <w:color w:val="111111"/>
          <w:sz w:val="28"/>
          <w:szCs w:val="28"/>
        </w:rPr>
        <w:t>)</w:t>
      </w:r>
      <w:r>
        <w:rPr>
          <w:rFonts w:ascii="標楷體" w:eastAsia="標楷體" w:hAnsi="標楷體" w:cs="標楷體"/>
          <w:color w:val="111111"/>
          <w:sz w:val="28"/>
          <w:szCs w:val="28"/>
        </w:rPr>
        <w:t>論文為合著者，每一論文，以補助一人為限。</w:t>
      </w:r>
    </w:p>
    <w:p w:rsidR="005777B0" w:rsidRDefault="00DD4847">
      <w:pPr>
        <w:pStyle w:val="Standard"/>
        <w:overflowPunct w:val="0"/>
        <w:ind w:left="2551" w:hanging="567"/>
        <w:jc w:val="both"/>
        <w:rPr>
          <w:rFonts w:ascii="標楷體" w:eastAsia="標楷體" w:hAnsi="標楷體" w:cs="標楷體"/>
          <w:color w:val="111111"/>
          <w:sz w:val="28"/>
          <w:szCs w:val="28"/>
        </w:rPr>
      </w:pPr>
      <w:r>
        <w:rPr>
          <w:rFonts w:ascii="標楷體" w:eastAsia="標楷體" w:hAnsi="標楷體" w:cs="標楷體"/>
          <w:color w:val="111111"/>
          <w:sz w:val="28"/>
          <w:szCs w:val="28"/>
        </w:rPr>
        <w:t>(</w:t>
      </w:r>
      <w:r>
        <w:rPr>
          <w:rFonts w:ascii="標楷體" w:eastAsia="標楷體" w:hAnsi="標楷體" w:cs="標楷體"/>
          <w:color w:val="111111"/>
          <w:sz w:val="28"/>
          <w:szCs w:val="28"/>
        </w:rPr>
        <w:t>三</w:t>
      </w:r>
      <w:r>
        <w:rPr>
          <w:rFonts w:ascii="標楷體" w:eastAsia="標楷體" w:hAnsi="標楷體" w:cs="標楷體"/>
          <w:color w:val="111111"/>
          <w:sz w:val="28"/>
          <w:szCs w:val="28"/>
        </w:rPr>
        <w:t>)</w:t>
      </w:r>
      <w:r>
        <w:rPr>
          <w:rFonts w:ascii="標楷體" w:eastAsia="標楷體" w:hAnsi="標楷體" w:cs="標楷體"/>
          <w:color w:val="111111"/>
          <w:sz w:val="28"/>
          <w:szCs w:val="28"/>
        </w:rPr>
        <w:t>學生為重度</w:t>
      </w:r>
      <w:r>
        <w:rPr>
          <w:rFonts w:ascii="標楷體" w:eastAsia="標楷體" w:hAnsi="標楷體" w:cs="標楷體"/>
          <w:color w:val="111111"/>
          <w:sz w:val="28"/>
          <w:szCs w:val="28"/>
        </w:rPr>
        <w:t>身心障礙者，補助隨行看護人員一人之來回經濟艙機票。</w:t>
      </w:r>
    </w:p>
    <w:p w:rsidR="005777B0" w:rsidRDefault="00DD4847">
      <w:pPr>
        <w:pStyle w:val="Standard"/>
        <w:tabs>
          <w:tab w:val="left" w:pos="1843"/>
        </w:tabs>
        <w:overflowPunct w:val="0"/>
        <w:ind w:left="1134" w:firstLine="567"/>
        <w:jc w:val="both"/>
        <w:rPr>
          <w:rFonts w:ascii="標楷體" w:eastAsia="標楷體" w:hAnsi="標楷體" w:cs="標楷體"/>
          <w:color w:val="111111"/>
          <w:sz w:val="28"/>
          <w:szCs w:val="28"/>
        </w:rPr>
      </w:pPr>
      <w:r>
        <w:rPr>
          <w:rFonts w:ascii="標楷體" w:eastAsia="標楷體" w:hAnsi="標楷體" w:cs="標楷體"/>
          <w:color w:val="111111"/>
          <w:sz w:val="28"/>
          <w:szCs w:val="28"/>
        </w:rPr>
        <w:t>前項第一款獎學金，應由學生就讀學校於每學年度結束後二個月內，檢具學生請領清冊及領據報本部申請該學年度獎學金；其發給期間，不包括轉學後就學及延長修業之期間。</w:t>
      </w:r>
    </w:p>
    <w:p w:rsidR="005777B0" w:rsidRDefault="00DD4847">
      <w:pPr>
        <w:pStyle w:val="Standard"/>
        <w:tabs>
          <w:tab w:val="left" w:pos="1843"/>
        </w:tabs>
        <w:overflowPunct w:val="0"/>
        <w:ind w:left="1134" w:firstLine="567"/>
        <w:jc w:val="both"/>
      </w:pPr>
      <w:r>
        <w:rPr>
          <w:rFonts w:ascii="標楷體" w:eastAsia="標楷體" w:hAnsi="標楷體" w:cs="標楷體"/>
          <w:color w:val="111111"/>
          <w:sz w:val="28"/>
          <w:szCs w:val="28"/>
        </w:rPr>
        <w:t>獲第一項第二款補助之學生，應於回國後，依法令規定之期限，繳交出席國際學術會議報告；違反者，本部不受理其嗣</w:t>
      </w:r>
      <w:r>
        <w:rPr>
          <w:rFonts w:ascii="標楷體" w:eastAsia="標楷體" w:hAnsi="標楷體" w:cs="標楷體"/>
          <w:color w:val="111111"/>
          <w:sz w:val="28"/>
          <w:szCs w:val="28"/>
        </w:rPr>
        <w:t>後出席國際學術會議補助之申請。</w:t>
      </w:r>
    </w:p>
    <w:p w:rsidR="005777B0" w:rsidRDefault="00DD4847">
      <w:pPr>
        <w:pStyle w:val="Default"/>
        <w:tabs>
          <w:tab w:val="left" w:pos="2258"/>
        </w:tabs>
        <w:overflowPunct w:val="0"/>
        <w:ind w:left="1134" w:hanging="1134"/>
        <w:jc w:val="both"/>
      </w:pPr>
      <w:r>
        <w:rPr>
          <w:rFonts w:ascii="標楷體" w:eastAsia="標楷體" w:hAnsi="標楷體" w:cs="標楷體"/>
          <w:color w:val="111111"/>
          <w:sz w:val="28"/>
          <w:szCs w:val="28"/>
        </w:rPr>
        <w:t>第十七條之一</w:t>
      </w:r>
      <w:r>
        <w:rPr>
          <w:rFonts w:ascii="標楷體" w:eastAsia="標楷體" w:hAnsi="標楷體" w:cs="標楷體"/>
          <w:color w:val="111111"/>
          <w:sz w:val="28"/>
          <w:szCs w:val="28"/>
        </w:rPr>
        <w:t xml:space="preserve">    </w:t>
      </w:r>
      <w:r>
        <w:rPr>
          <w:rFonts w:ascii="標楷體" w:eastAsia="標楷體" w:hAnsi="標楷體" w:cs="標楷體"/>
          <w:color w:val="111111"/>
          <w:sz w:val="28"/>
          <w:szCs w:val="28"/>
        </w:rPr>
        <w:t>本辦法中華民國一百十三年七月三十一日修正發布之</w:t>
      </w:r>
    </w:p>
    <w:p w:rsidR="005777B0" w:rsidRDefault="00DD4847">
      <w:pPr>
        <w:pStyle w:val="Default"/>
        <w:tabs>
          <w:tab w:val="left" w:pos="2258"/>
        </w:tabs>
        <w:overflowPunct w:val="0"/>
        <w:ind w:left="1134" w:hanging="1134"/>
        <w:jc w:val="both"/>
      </w:pPr>
      <w:r>
        <w:t xml:space="preserve">　　　　　　　</w:t>
      </w:r>
      <w:r>
        <w:rPr>
          <w:rFonts w:ascii="標楷體" w:eastAsia="標楷體" w:hAnsi="標楷體" w:cs="標楷體"/>
          <w:color w:val="111111"/>
          <w:sz w:val="28"/>
          <w:szCs w:val="28"/>
        </w:rPr>
        <w:t>第三條、第八條、第十一條施行前，已獲得歐洲女子數學</w:t>
      </w:r>
    </w:p>
    <w:p w:rsidR="005777B0" w:rsidRDefault="00DD4847">
      <w:pPr>
        <w:pStyle w:val="Default"/>
        <w:tabs>
          <w:tab w:val="left" w:pos="2258"/>
        </w:tabs>
        <w:overflowPunct w:val="0"/>
        <w:ind w:left="1134" w:hanging="1134"/>
        <w:jc w:val="both"/>
      </w:pPr>
      <w:r>
        <w:t xml:space="preserve">　　　　　　　</w:t>
      </w:r>
      <w:r>
        <w:rPr>
          <w:rFonts w:ascii="標楷體" w:eastAsia="標楷體" w:hAnsi="標楷體" w:cs="標楷體"/>
          <w:color w:val="111111"/>
          <w:sz w:val="28"/>
          <w:szCs w:val="28"/>
        </w:rPr>
        <w:t>奧林匹亞競賽獎項，</w:t>
      </w:r>
      <w:r>
        <w:rPr>
          <w:rFonts w:ascii="標楷體" w:eastAsia="標楷體" w:hAnsi="標楷體" w:cs="標楷體"/>
          <w:color w:val="111111"/>
          <w:sz w:val="28"/>
          <w:szCs w:val="28"/>
        </w:rPr>
        <w:t>尚未申請升學優待或未予以獎學金、</w:t>
      </w:r>
    </w:p>
    <w:p w:rsidR="005777B0" w:rsidRDefault="00DD4847">
      <w:pPr>
        <w:pStyle w:val="Default"/>
        <w:tabs>
          <w:tab w:val="left" w:pos="2258"/>
        </w:tabs>
        <w:overflowPunct w:val="0"/>
        <w:ind w:left="1134" w:hanging="1134"/>
        <w:jc w:val="both"/>
      </w:pPr>
      <w:r>
        <w:t xml:space="preserve">　　　　　　　</w:t>
      </w:r>
      <w:r>
        <w:rPr>
          <w:rFonts w:ascii="標楷體" w:eastAsia="標楷體" w:hAnsi="標楷體" w:cs="標楷體"/>
          <w:color w:val="111111"/>
          <w:sz w:val="28"/>
          <w:szCs w:val="28"/>
        </w:rPr>
        <w:t>獎勵、補助者，適用修正施行後之規定；其申請升學優待</w:t>
      </w:r>
    </w:p>
    <w:p w:rsidR="005777B0" w:rsidRDefault="00DD4847">
      <w:pPr>
        <w:pStyle w:val="Default"/>
        <w:tabs>
          <w:tab w:val="left" w:pos="2258"/>
        </w:tabs>
        <w:overflowPunct w:val="0"/>
        <w:ind w:left="1134" w:hanging="1134"/>
        <w:jc w:val="both"/>
      </w:pPr>
      <w:r>
        <w:t xml:space="preserve">　　　　　　　</w:t>
      </w:r>
      <w:r>
        <w:rPr>
          <w:rFonts w:ascii="標楷體" w:eastAsia="標楷體" w:hAnsi="標楷體" w:cs="標楷體"/>
          <w:color w:val="111111"/>
          <w:sz w:val="28"/>
          <w:szCs w:val="28"/>
        </w:rPr>
        <w:t>之應屆畢業生，應於修正施行之日起一個月內，依第七條</w:t>
      </w:r>
    </w:p>
    <w:p w:rsidR="005777B0" w:rsidRDefault="00DD4847">
      <w:pPr>
        <w:pStyle w:val="Default"/>
        <w:tabs>
          <w:tab w:val="left" w:pos="2258"/>
        </w:tabs>
        <w:overflowPunct w:val="0"/>
        <w:ind w:left="1134" w:hanging="1134"/>
        <w:jc w:val="both"/>
      </w:pPr>
      <w:r>
        <w:t xml:space="preserve">　　　　　　　</w:t>
      </w:r>
      <w:r>
        <w:rPr>
          <w:rFonts w:ascii="標楷體" w:eastAsia="標楷體" w:hAnsi="標楷體" w:cs="標楷體"/>
          <w:color w:val="111111"/>
          <w:sz w:val="28"/>
          <w:szCs w:val="28"/>
        </w:rPr>
        <w:t>規定辦理。</w:t>
      </w:r>
      <w:r>
        <w:rPr>
          <w:rFonts w:ascii="標楷體" w:eastAsia="標楷體" w:hAnsi="標楷體" w:cs="標楷體"/>
          <w:color w:val="111111"/>
          <w:sz w:val="28"/>
          <w:szCs w:val="28"/>
        </w:rPr>
        <w:br/>
      </w:r>
      <w:r>
        <w:rPr>
          <w:rFonts w:ascii="標楷體" w:eastAsia="標楷體" w:hAnsi="標楷體" w:cs="標楷體"/>
          <w:color w:val="111111"/>
          <w:sz w:val="28"/>
          <w:szCs w:val="28"/>
        </w:rPr>
        <w:t xml:space="preserve">        </w:t>
      </w:r>
      <w:r>
        <w:rPr>
          <w:rFonts w:ascii="標楷體" w:eastAsia="標楷體" w:hAnsi="標楷體" w:cs="標楷體"/>
          <w:color w:val="111111"/>
          <w:sz w:val="28"/>
          <w:szCs w:val="28"/>
        </w:rPr>
        <w:t>本辦法中華民國</w:t>
      </w:r>
      <w:r>
        <w:rPr>
          <w:rFonts w:ascii="標楷體" w:eastAsia="標楷體" w:hAnsi="標楷體" w:cs="標楷體"/>
          <w:color w:val="111111"/>
          <w:sz w:val="28"/>
          <w:szCs w:val="28"/>
        </w:rPr>
        <w:t>一百十三年七月三十一日</w:t>
      </w:r>
      <w:r>
        <w:rPr>
          <w:rFonts w:ascii="標楷體" w:eastAsia="標楷體" w:hAnsi="標楷體" w:cs="標楷體"/>
          <w:color w:val="111111"/>
          <w:sz w:val="28"/>
          <w:szCs w:val="28"/>
        </w:rPr>
        <w:t>修正發布之</w:t>
      </w:r>
    </w:p>
    <w:p w:rsidR="005777B0" w:rsidRDefault="00DD4847">
      <w:pPr>
        <w:pStyle w:val="Default"/>
        <w:tabs>
          <w:tab w:val="left" w:pos="2258"/>
        </w:tabs>
        <w:overflowPunct w:val="0"/>
        <w:ind w:left="1134" w:hanging="1134"/>
      </w:pPr>
      <w:r>
        <w:t xml:space="preserve">              </w:t>
      </w:r>
      <w:r>
        <w:rPr>
          <w:rFonts w:ascii="標楷體" w:eastAsia="標楷體" w:hAnsi="標楷體" w:cs="標楷體"/>
          <w:color w:val="111111"/>
          <w:sz w:val="28"/>
          <w:szCs w:val="28"/>
        </w:rPr>
        <w:t>第五條、第六條施行前，已參加亞太數學奧林匹亞競賽或</w:t>
      </w:r>
    </w:p>
    <w:p w:rsidR="005777B0" w:rsidRDefault="00DD4847">
      <w:pPr>
        <w:pStyle w:val="Default"/>
        <w:tabs>
          <w:tab w:val="left" w:pos="2258"/>
        </w:tabs>
        <w:overflowPunct w:val="0"/>
        <w:ind w:left="1134" w:hanging="1134"/>
      </w:pPr>
      <w:r>
        <w:t xml:space="preserve">              </w:t>
      </w:r>
      <w:r>
        <w:rPr>
          <w:rFonts w:ascii="標楷體" w:eastAsia="標楷體" w:hAnsi="標楷體" w:cs="標楷體"/>
          <w:color w:val="111111"/>
          <w:sz w:val="28"/>
          <w:szCs w:val="28"/>
        </w:rPr>
        <w:t>歐洲女子數學奧林匹亞競賽獲獎，尚未申請就讀者，適用</w:t>
      </w:r>
    </w:p>
    <w:p w:rsidR="005777B0" w:rsidRDefault="00DD4847">
      <w:pPr>
        <w:pStyle w:val="Default"/>
        <w:tabs>
          <w:tab w:val="left" w:pos="2258"/>
        </w:tabs>
        <w:overflowPunct w:val="0"/>
        <w:ind w:left="1134" w:hanging="1134"/>
      </w:pPr>
      <w:r>
        <w:t xml:space="preserve">              </w:t>
      </w:r>
      <w:r>
        <w:rPr>
          <w:rFonts w:ascii="標楷體" w:eastAsia="標楷體" w:hAnsi="標楷體" w:cs="標楷體"/>
          <w:color w:val="111111"/>
          <w:sz w:val="28"/>
          <w:szCs w:val="28"/>
        </w:rPr>
        <w:t>修正施行後之規定。</w:t>
      </w:r>
    </w:p>
    <w:p w:rsidR="005777B0" w:rsidRDefault="00DD4847">
      <w:pPr>
        <w:pStyle w:val="Default"/>
        <w:tabs>
          <w:tab w:val="left" w:pos="2258"/>
        </w:tabs>
        <w:overflowPunct w:val="0"/>
        <w:ind w:left="840" w:hanging="840"/>
        <w:jc w:val="both"/>
        <w:rPr>
          <w:rFonts w:ascii="標楷體" w:eastAsia="標楷體" w:hAnsi="標楷體" w:cs="標楷體"/>
          <w:color w:val="111111"/>
          <w:sz w:val="28"/>
          <w:szCs w:val="28"/>
        </w:rPr>
      </w:pPr>
      <w:r>
        <w:rPr>
          <w:rFonts w:ascii="標楷體" w:eastAsia="標楷體" w:hAnsi="標楷體" w:cs="標楷體"/>
          <w:color w:val="111111"/>
          <w:sz w:val="28"/>
          <w:szCs w:val="28"/>
        </w:rPr>
        <w:t>第十八條　　本辦法自中華民國一百十二年一月一日施行。</w:t>
      </w:r>
    </w:p>
    <w:p w:rsidR="005777B0" w:rsidRDefault="00DD4847">
      <w:pPr>
        <w:pStyle w:val="Default"/>
        <w:tabs>
          <w:tab w:val="left" w:pos="2258"/>
        </w:tabs>
        <w:overflowPunct w:val="0"/>
        <w:ind w:left="840" w:hanging="840"/>
        <w:jc w:val="both"/>
      </w:pPr>
      <w:r>
        <w:t xml:space="preserve">　　　　　　　</w:t>
      </w:r>
      <w:r>
        <w:rPr>
          <w:rFonts w:ascii="標楷體" w:eastAsia="標楷體" w:hAnsi="標楷體" w:cs="標楷體"/>
          <w:color w:val="111111"/>
          <w:sz w:val="28"/>
          <w:szCs w:val="28"/>
        </w:rPr>
        <w:t>本辦法修正條文，自發布日施行。</w:t>
      </w:r>
    </w:p>
    <w:sectPr w:rsidR="005777B0">
      <w:pgSz w:w="11906" w:h="16838"/>
      <w:pgMar w:top="1418" w:right="1415"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D4847">
      <w:pPr>
        <w:rPr>
          <w:rFonts w:hint="eastAsia"/>
        </w:rPr>
      </w:pPr>
      <w:r>
        <w:separator/>
      </w:r>
    </w:p>
  </w:endnote>
  <w:endnote w:type="continuationSeparator" w:id="0">
    <w:p w:rsidR="00000000" w:rsidRDefault="00DD48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8100AAF7" w:usb1="0000807B" w:usb2="00000008" w:usb3="00000000" w:csb0="0000009F" w:csb1="00000000"/>
  </w:font>
  <w:font w:name="Calibri">
    <w:panose1 w:val="020F0502020204030204"/>
    <w:charset w:val="00"/>
    <w:family w:val="swiss"/>
    <w:pitch w:val="variable"/>
    <w:sig w:usb0="E4002EFF" w:usb1="C000247B" w:usb2="00000009" w:usb3="00000000" w:csb0="000001FF" w:csb1="00000000"/>
  </w:font>
  <w:font w:name="新細明體, PMingLiU">
    <w:charset w:val="00"/>
    <w:family w:val="roman"/>
    <w:pitch w:val="variable"/>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標楷體.....">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D4847">
      <w:pPr>
        <w:rPr>
          <w:rFonts w:hint="eastAsia"/>
        </w:rPr>
      </w:pPr>
      <w:r>
        <w:rPr>
          <w:color w:val="000000"/>
        </w:rPr>
        <w:separator/>
      </w:r>
    </w:p>
  </w:footnote>
  <w:footnote w:type="continuationSeparator" w:id="0">
    <w:p w:rsidR="00000000" w:rsidRDefault="00DD484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B52AC"/>
    <w:multiLevelType w:val="multilevel"/>
    <w:tmpl w:val="AE36EEBA"/>
    <w:styleLink w:val="WW8Num2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8BC4B9C"/>
    <w:multiLevelType w:val="multilevel"/>
    <w:tmpl w:val="CE86965E"/>
    <w:styleLink w:val="WW8Num10"/>
    <w:lvl w:ilvl="0">
      <w:start w:val="1"/>
      <w:numFmt w:val="japaneseCounting"/>
      <w:lvlText w:val="%1、"/>
      <w:lvlJc w:val="left"/>
      <w:pPr>
        <w:ind w:left="480" w:hanging="480"/>
      </w:pPr>
    </w:lvl>
    <w:lvl w:ilvl="1">
      <w:start w:val="1"/>
      <w:numFmt w:val="japaneseCounting"/>
      <w:lvlText w:val="(%1.%2)"/>
      <w:lvlJc w:val="left"/>
      <w:pPr>
        <w:ind w:left="960" w:hanging="480"/>
      </w:pPr>
      <w:rPr>
        <w:u w:val="single"/>
      </w:r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C03762A"/>
    <w:multiLevelType w:val="multilevel"/>
    <w:tmpl w:val="E0A247EA"/>
    <w:styleLink w:val="WW8Num3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C820457"/>
    <w:multiLevelType w:val="multilevel"/>
    <w:tmpl w:val="711E25BE"/>
    <w:styleLink w:val="WW8Num3"/>
    <w:lvl w:ilvl="0">
      <w:start w:val="1"/>
      <w:numFmt w:val="japaneseCounting"/>
      <w:lvlText w:val="%1、"/>
      <w:lvlJc w:val="left"/>
      <w:pPr>
        <w:ind w:left="763" w:hanging="480"/>
      </w:pPr>
    </w:lvl>
    <w:lvl w:ilvl="1">
      <w:start w:val="1"/>
      <w:numFmt w:val="ideographTraditional"/>
      <w:lvlText w:val="%1.%2、"/>
      <w:lvlJc w:val="left"/>
      <w:pPr>
        <w:ind w:left="5072" w:hanging="480"/>
      </w:pPr>
    </w:lvl>
    <w:lvl w:ilvl="2">
      <w:start w:val="1"/>
      <w:numFmt w:val="lowerRoman"/>
      <w:lvlText w:val="%1.%2.%3."/>
      <w:lvlJc w:val="right"/>
      <w:pPr>
        <w:ind w:left="5552" w:hanging="480"/>
      </w:pPr>
    </w:lvl>
    <w:lvl w:ilvl="3">
      <w:start w:val="1"/>
      <w:numFmt w:val="decimal"/>
      <w:lvlText w:val="%1.%2.%3.%4."/>
      <w:lvlJc w:val="left"/>
      <w:pPr>
        <w:ind w:left="6032" w:hanging="480"/>
      </w:pPr>
    </w:lvl>
    <w:lvl w:ilvl="4">
      <w:start w:val="1"/>
      <w:numFmt w:val="ideographTraditional"/>
      <w:lvlText w:val="%1.%2.%3.%4.%5、"/>
      <w:lvlJc w:val="left"/>
      <w:pPr>
        <w:ind w:left="6512" w:hanging="480"/>
      </w:pPr>
    </w:lvl>
    <w:lvl w:ilvl="5">
      <w:start w:val="1"/>
      <w:numFmt w:val="lowerRoman"/>
      <w:lvlText w:val="%1.%2.%3.%4.%5.%6."/>
      <w:lvlJc w:val="right"/>
      <w:pPr>
        <w:ind w:left="6992" w:hanging="480"/>
      </w:pPr>
    </w:lvl>
    <w:lvl w:ilvl="6">
      <w:start w:val="1"/>
      <w:numFmt w:val="decimal"/>
      <w:lvlText w:val="%1.%2.%3.%4.%5.%6.%7."/>
      <w:lvlJc w:val="left"/>
      <w:pPr>
        <w:ind w:left="7472" w:hanging="480"/>
      </w:pPr>
    </w:lvl>
    <w:lvl w:ilvl="7">
      <w:start w:val="1"/>
      <w:numFmt w:val="ideographTraditional"/>
      <w:lvlText w:val="%1.%2.%3.%4.%5.%6.%7.%8、"/>
      <w:lvlJc w:val="left"/>
      <w:pPr>
        <w:ind w:left="7952" w:hanging="480"/>
      </w:pPr>
    </w:lvl>
    <w:lvl w:ilvl="8">
      <w:start w:val="1"/>
      <w:numFmt w:val="lowerRoman"/>
      <w:lvlText w:val="%1.%2.%3.%4.%5.%6.%7.%8.%9."/>
      <w:lvlJc w:val="right"/>
      <w:pPr>
        <w:ind w:left="8432" w:hanging="480"/>
      </w:pPr>
    </w:lvl>
  </w:abstractNum>
  <w:abstractNum w:abstractNumId="4" w15:restartNumberingAfterBreak="0">
    <w:nsid w:val="0D703735"/>
    <w:multiLevelType w:val="multilevel"/>
    <w:tmpl w:val="7488E000"/>
    <w:styleLink w:val="WW8Num26"/>
    <w:lvl w:ilvl="0">
      <w:start w:val="1"/>
      <w:numFmt w:val="japaneseCounting"/>
      <w:lvlText w:val="%1、"/>
      <w:lvlJc w:val="left"/>
      <w:pPr>
        <w:ind w:left="480" w:hanging="480"/>
      </w:pPr>
      <w:rPr>
        <w:rFonts w:ascii="標楷體" w:eastAsia="標楷體" w:hAnsi="標楷體" w:cs="標楷體"/>
        <w:color w:val="000000"/>
        <w:kern w:val="0"/>
        <w:szCs w:val="24"/>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5" w15:restartNumberingAfterBreak="0">
    <w:nsid w:val="0E5344BC"/>
    <w:multiLevelType w:val="multilevel"/>
    <w:tmpl w:val="332A3FEA"/>
    <w:styleLink w:val="WW8Num5"/>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21C67E3"/>
    <w:multiLevelType w:val="multilevel"/>
    <w:tmpl w:val="81DC79C6"/>
    <w:styleLink w:val="WW8Num41"/>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7" w15:restartNumberingAfterBreak="0">
    <w:nsid w:val="123E08BF"/>
    <w:multiLevelType w:val="multilevel"/>
    <w:tmpl w:val="842C21FC"/>
    <w:styleLink w:val="WW8Num1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16C36BBF"/>
    <w:multiLevelType w:val="multilevel"/>
    <w:tmpl w:val="876A8B06"/>
    <w:styleLink w:val="WW8Num11"/>
    <w:lvl w:ilvl="0">
      <w:start w:val="3"/>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9" w15:restartNumberingAfterBreak="0">
    <w:nsid w:val="17CB7F2F"/>
    <w:multiLevelType w:val="multilevel"/>
    <w:tmpl w:val="0C9E7E96"/>
    <w:styleLink w:val="WW8Num1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C285ECD"/>
    <w:multiLevelType w:val="multilevel"/>
    <w:tmpl w:val="3132D2E2"/>
    <w:styleLink w:val="WW8Num3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1F703AB4"/>
    <w:multiLevelType w:val="multilevel"/>
    <w:tmpl w:val="A42CABE4"/>
    <w:styleLink w:val="WW8Num18"/>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2" w15:restartNumberingAfterBreak="0">
    <w:nsid w:val="1FCE59BD"/>
    <w:multiLevelType w:val="multilevel"/>
    <w:tmpl w:val="EDF0AACE"/>
    <w:styleLink w:val="WW8Num2"/>
    <w:lvl w:ilvl="0">
      <w:start w:val="1"/>
      <w:numFmt w:val="japaneseCounting"/>
      <w:lvlText w:val="%1、"/>
      <w:lvlJc w:val="left"/>
      <w:pPr>
        <w:ind w:left="750" w:hanging="510"/>
      </w:p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13" w15:restartNumberingAfterBreak="0">
    <w:nsid w:val="1FFE1442"/>
    <w:multiLevelType w:val="multilevel"/>
    <w:tmpl w:val="9CDA06DA"/>
    <w:styleLink w:val="WW8Num4"/>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215A21E3"/>
    <w:multiLevelType w:val="multilevel"/>
    <w:tmpl w:val="85347A58"/>
    <w:styleLink w:val="WW8Num3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219F1339"/>
    <w:multiLevelType w:val="multilevel"/>
    <w:tmpl w:val="384626B4"/>
    <w:styleLink w:val="WW8Num25"/>
    <w:lvl w:ilvl="0">
      <w:start w:val="1"/>
      <w:numFmt w:val="japaneseCounting"/>
      <w:lvlText w:val="%1、"/>
      <w:lvlJc w:val="left"/>
      <w:pPr>
        <w:ind w:left="456" w:hanging="456"/>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21BF59F8"/>
    <w:multiLevelType w:val="multilevel"/>
    <w:tmpl w:val="AAA4EDA0"/>
    <w:styleLink w:val="WW8Num32"/>
    <w:lvl w:ilvl="0">
      <w:start w:val="1"/>
      <w:numFmt w:val="japaneseCounting"/>
      <w:lvlText w:val="%1、"/>
      <w:lvlJc w:val="left"/>
      <w:pPr>
        <w:ind w:left="450" w:hanging="45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4C14A4C"/>
    <w:multiLevelType w:val="multilevel"/>
    <w:tmpl w:val="F8543C24"/>
    <w:styleLink w:val="WW8Num6"/>
    <w:lvl w:ilvl="0">
      <w:start w:val="1"/>
      <w:numFmt w:val="japaneseCounting"/>
      <w:lvlText w:val="%1、"/>
      <w:lvlJc w:val="left"/>
      <w:pPr>
        <w:ind w:left="480" w:hanging="480"/>
      </w:pPr>
      <w:rPr>
        <w:rFonts w:ascii="標楷體" w:eastAsia="標楷體" w:hAnsi="標楷體" w:cs="Times New Roman"/>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8" w15:restartNumberingAfterBreak="0">
    <w:nsid w:val="29210962"/>
    <w:multiLevelType w:val="multilevel"/>
    <w:tmpl w:val="3F180FC6"/>
    <w:styleLink w:val="WW8Num35"/>
    <w:lvl w:ilvl="0">
      <w:start w:val="1"/>
      <w:numFmt w:val="upperLetter"/>
      <w:lvlText w:val="%1."/>
      <w:lvlJc w:val="left"/>
      <w:pPr>
        <w:ind w:left="2628" w:hanging="360"/>
      </w:pPr>
      <w:rPr>
        <w:b w:val="0"/>
        <w:u w:val="none"/>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9" w15:restartNumberingAfterBreak="0">
    <w:nsid w:val="34A84070"/>
    <w:multiLevelType w:val="multilevel"/>
    <w:tmpl w:val="93849DE0"/>
    <w:styleLink w:val="WW8Num9"/>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0" w15:restartNumberingAfterBreak="0">
    <w:nsid w:val="3825203C"/>
    <w:multiLevelType w:val="multilevel"/>
    <w:tmpl w:val="B3A41F70"/>
    <w:styleLink w:val="WW8Num3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1" w15:restartNumberingAfterBreak="0">
    <w:nsid w:val="3ACB331A"/>
    <w:multiLevelType w:val="multilevel"/>
    <w:tmpl w:val="58669C4A"/>
    <w:styleLink w:val="WW8Num36"/>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446B1009"/>
    <w:multiLevelType w:val="multilevel"/>
    <w:tmpl w:val="9D16C31A"/>
    <w:styleLink w:val="WW8Num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47FA1228"/>
    <w:multiLevelType w:val="multilevel"/>
    <w:tmpl w:val="631A5078"/>
    <w:styleLink w:val="WW8Num23"/>
    <w:lvl w:ilvl="0">
      <w:start w:val="1"/>
      <w:numFmt w:val="japaneseCounting"/>
      <w:lvlText w:val="第%1條"/>
      <w:lvlJc w:val="left"/>
      <w:pPr>
        <w:ind w:left="1035" w:hanging="1035"/>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4" w15:restartNumberingAfterBreak="0">
    <w:nsid w:val="4CF0689C"/>
    <w:multiLevelType w:val="multilevel"/>
    <w:tmpl w:val="FABEFB90"/>
    <w:styleLink w:val="WW8Num7"/>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D27237B"/>
    <w:multiLevelType w:val="multilevel"/>
    <w:tmpl w:val="E1A8702A"/>
    <w:styleLink w:val="WW8Num22"/>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6" w15:restartNumberingAfterBreak="0">
    <w:nsid w:val="502E2A01"/>
    <w:multiLevelType w:val="multilevel"/>
    <w:tmpl w:val="6C1E1544"/>
    <w:styleLink w:val="WW8Num2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531E66D1"/>
    <w:multiLevelType w:val="multilevel"/>
    <w:tmpl w:val="4874ECFC"/>
    <w:styleLink w:val="WW8Num24"/>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8" w15:restartNumberingAfterBreak="0">
    <w:nsid w:val="555A29C8"/>
    <w:multiLevelType w:val="multilevel"/>
    <w:tmpl w:val="35EABA2C"/>
    <w:styleLink w:val="WW8Num15"/>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5B576296"/>
    <w:multiLevelType w:val="multilevel"/>
    <w:tmpl w:val="D7DA5F22"/>
    <w:styleLink w:val="WW8Num40"/>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60253E0D"/>
    <w:multiLevelType w:val="multilevel"/>
    <w:tmpl w:val="69E03C36"/>
    <w:styleLink w:val="WW8Num1"/>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60501E6B"/>
    <w:multiLevelType w:val="multilevel"/>
    <w:tmpl w:val="3A740140"/>
    <w:styleLink w:val="WW8Num33"/>
    <w:lvl w:ilvl="0">
      <w:start w:val="1"/>
      <w:numFmt w:val="japaneseCounting"/>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32" w15:restartNumberingAfterBreak="0">
    <w:nsid w:val="62B22190"/>
    <w:multiLevelType w:val="multilevel"/>
    <w:tmpl w:val="B80C3686"/>
    <w:styleLink w:val="WW8Num13"/>
    <w:lvl w:ilvl="0">
      <w:start w:val="1"/>
      <w:numFmt w:val="japaneseCounting"/>
      <w:lvlText w:val="(%1)"/>
      <w:lvlJc w:val="left"/>
      <w:pPr>
        <w:ind w:left="1200" w:hanging="48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33" w15:restartNumberingAfterBreak="0">
    <w:nsid w:val="63236ECE"/>
    <w:multiLevelType w:val="multilevel"/>
    <w:tmpl w:val="563A6BB0"/>
    <w:styleLink w:val="WW8Num2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4" w15:restartNumberingAfterBreak="0">
    <w:nsid w:val="68067767"/>
    <w:multiLevelType w:val="multilevel"/>
    <w:tmpl w:val="DDEA1E88"/>
    <w:styleLink w:val="WW8Num38"/>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15:restartNumberingAfterBreak="0">
    <w:nsid w:val="69717410"/>
    <w:multiLevelType w:val="multilevel"/>
    <w:tmpl w:val="B004F670"/>
    <w:styleLink w:val="WW8Num39"/>
    <w:lvl w:ilvl="0">
      <w:start w:val="1"/>
      <w:numFmt w:val="decimal"/>
      <w:lvlText w:val="%1."/>
      <w:lvlJc w:val="left"/>
      <w:pPr>
        <w:ind w:left="1516" w:hanging="480"/>
      </w:pPr>
    </w:lvl>
    <w:lvl w:ilvl="1">
      <w:start w:val="1"/>
      <w:numFmt w:val="ideographTraditional"/>
      <w:lvlText w:val="%1.%2、"/>
      <w:lvlJc w:val="left"/>
      <w:pPr>
        <w:ind w:left="1996" w:hanging="480"/>
      </w:pPr>
    </w:lvl>
    <w:lvl w:ilvl="2">
      <w:start w:val="1"/>
      <w:numFmt w:val="lowerRoman"/>
      <w:lvlText w:val="%1.%2.%3."/>
      <w:lvlJc w:val="right"/>
      <w:pPr>
        <w:ind w:left="2476" w:hanging="480"/>
      </w:pPr>
    </w:lvl>
    <w:lvl w:ilvl="3">
      <w:start w:val="1"/>
      <w:numFmt w:val="decimal"/>
      <w:lvlText w:val="%1.%2.%3.%4."/>
      <w:lvlJc w:val="left"/>
      <w:pPr>
        <w:ind w:left="2956" w:hanging="480"/>
      </w:pPr>
    </w:lvl>
    <w:lvl w:ilvl="4">
      <w:start w:val="1"/>
      <w:numFmt w:val="ideographTraditional"/>
      <w:lvlText w:val="%1.%2.%3.%4.%5、"/>
      <w:lvlJc w:val="left"/>
      <w:pPr>
        <w:ind w:left="3436" w:hanging="480"/>
      </w:pPr>
    </w:lvl>
    <w:lvl w:ilvl="5">
      <w:start w:val="1"/>
      <w:numFmt w:val="lowerRoman"/>
      <w:lvlText w:val="%1.%2.%3.%4.%5.%6."/>
      <w:lvlJc w:val="right"/>
      <w:pPr>
        <w:ind w:left="3916" w:hanging="480"/>
      </w:pPr>
    </w:lvl>
    <w:lvl w:ilvl="6">
      <w:start w:val="1"/>
      <w:numFmt w:val="decimal"/>
      <w:lvlText w:val="%1.%2.%3.%4.%5.%6.%7."/>
      <w:lvlJc w:val="left"/>
      <w:pPr>
        <w:ind w:left="4396" w:hanging="480"/>
      </w:pPr>
    </w:lvl>
    <w:lvl w:ilvl="7">
      <w:start w:val="1"/>
      <w:numFmt w:val="ideographTraditional"/>
      <w:lvlText w:val="%1.%2.%3.%4.%5.%6.%7.%8、"/>
      <w:lvlJc w:val="left"/>
      <w:pPr>
        <w:ind w:left="4876" w:hanging="480"/>
      </w:pPr>
    </w:lvl>
    <w:lvl w:ilvl="8">
      <w:start w:val="1"/>
      <w:numFmt w:val="lowerRoman"/>
      <w:lvlText w:val="%1.%2.%3.%4.%5.%6.%7.%8.%9."/>
      <w:lvlJc w:val="right"/>
      <w:pPr>
        <w:ind w:left="5356" w:hanging="480"/>
      </w:pPr>
    </w:lvl>
  </w:abstractNum>
  <w:abstractNum w:abstractNumId="36" w15:restartNumberingAfterBreak="0">
    <w:nsid w:val="6CD32D54"/>
    <w:multiLevelType w:val="multilevel"/>
    <w:tmpl w:val="61B27D2A"/>
    <w:styleLink w:val="WW8Num16"/>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7" w15:restartNumberingAfterBreak="0">
    <w:nsid w:val="6F37673A"/>
    <w:multiLevelType w:val="multilevel"/>
    <w:tmpl w:val="AFEC6C14"/>
    <w:styleLink w:val="WW8Num28"/>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8" w15:restartNumberingAfterBreak="0">
    <w:nsid w:val="70CD3E3E"/>
    <w:multiLevelType w:val="multilevel"/>
    <w:tmpl w:val="437C3670"/>
    <w:styleLink w:val="WW8Num12"/>
    <w:lvl w:ilvl="0">
      <w:start w:val="1"/>
      <w:numFmt w:val="japaneseCounting"/>
      <w:lvlText w:val="%1、"/>
      <w:lvlJc w:val="left"/>
      <w:pPr>
        <w:ind w:left="720" w:hanging="48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75ED5340"/>
    <w:multiLevelType w:val="multilevel"/>
    <w:tmpl w:val="0BEE0682"/>
    <w:styleLink w:val="WW8Num19"/>
    <w:lvl w:ilvl="0">
      <w:start w:val="1"/>
      <w:numFmt w:val="japaneseCounting"/>
      <w:lvlText w:val="第%1條"/>
      <w:lvlJc w:val="left"/>
      <w:pPr>
        <w:ind w:left="1080" w:hanging="1080"/>
      </w:pPr>
      <w:rPr>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77930F23"/>
    <w:multiLevelType w:val="multilevel"/>
    <w:tmpl w:val="BEE4A48A"/>
    <w:styleLink w:val="WW8Num20"/>
    <w:lvl w:ilvl="0">
      <w:start w:val="1"/>
      <w:numFmt w:val="japaneseCounting"/>
      <w:lvlText w:val="%1、"/>
      <w:lvlJc w:val="left"/>
      <w:pPr>
        <w:ind w:left="720" w:hanging="480"/>
      </w:pPr>
      <w:rPr>
        <w:color w:val="000000"/>
      </w:rPr>
    </w:lvl>
    <w:lvl w:ilvl="1">
      <w:start w:val="1"/>
      <w:numFmt w:val="ideographTraditional"/>
      <w:lvlText w:val="%1.%2、"/>
      <w:lvlJc w:val="left"/>
      <w:pPr>
        <w:ind w:left="1200" w:hanging="480"/>
      </w:pPr>
    </w:lvl>
    <w:lvl w:ilvl="2">
      <w:start w:val="1"/>
      <w:numFmt w:val="lowerRoman"/>
      <w:lvlText w:val="%1.%2.%3."/>
      <w:lvlJc w:val="right"/>
      <w:pPr>
        <w:ind w:left="1680" w:hanging="480"/>
      </w:pPr>
    </w:lvl>
    <w:lvl w:ilvl="3">
      <w:start w:val="1"/>
      <w:numFmt w:val="decimal"/>
      <w:lvlText w:val="%1.%2.%3.%4."/>
      <w:lvlJc w:val="left"/>
      <w:pPr>
        <w:ind w:left="2160" w:hanging="480"/>
      </w:pPr>
    </w:lvl>
    <w:lvl w:ilvl="4">
      <w:start w:val="1"/>
      <w:numFmt w:val="ideographTraditional"/>
      <w:lvlText w:val="%1.%2.%3.%4.%5、"/>
      <w:lvlJc w:val="left"/>
      <w:pPr>
        <w:ind w:left="2640" w:hanging="480"/>
      </w:pPr>
    </w:lvl>
    <w:lvl w:ilvl="5">
      <w:start w:val="1"/>
      <w:numFmt w:val="lowerRoman"/>
      <w:lvlText w:val="%1.%2.%3.%4.%5.%6."/>
      <w:lvlJc w:val="right"/>
      <w:pPr>
        <w:ind w:left="3120" w:hanging="480"/>
      </w:pPr>
    </w:lvl>
    <w:lvl w:ilvl="6">
      <w:start w:val="1"/>
      <w:numFmt w:val="decimal"/>
      <w:lvlText w:val="%1.%2.%3.%4.%5.%6.%7."/>
      <w:lvlJc w:val="left"/>
      <w:pPr>
        <w:ind w:left="3600" w:hanging="480"/>
      </w:pPr>
    </w:lvl>
    <w:lvl w:ilvl="7">
      <w:start w:val="1"/>
      <w:numFmt w:val="ideographTraditional"/>
      <w:lvlText w:val="%1.%2.%3.%4.%5.%6.%7.%8、"/>
      <w:lvlJc w:val="left"/>
      <w:pPr>
        <w:ind w:left="4080" w:hanging="480"/>
      </w:pPr>
    </w:lvl>
    <w:lvl w:ilvl="8">
      <w:start w:val="1"/>
      <w:numFmt w:val="lowerRoman"/>
      <w:lvlText w:val="%1.%2.%3.%4.%5.%6.%7.%8.%9."/>
      <w:lvlJc w:val="right"/>
      <w:pPr>
        <w:ind w:left="4560" w:hanging="480"/>
      </w:pPr>
    </w:lvl>
  </w:abstractNum>
  <w:abstractNum w:abstractNumId="41" w15:restartNumberingAfterBreak="0">
    <w:nsid w:val="7EF37796"/>
    <w:multiLevelType w:val="multilevel"/>
    <w:tmpl w:val="F13E6670"/>
    <w:styleLink w:val="WW8Num42"/>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num w:numId="1">
    <w:abstractNumId w:val="30"/>
  </w:num>
  <w:num w:numId="2">
    <w:abstractNumId w:val="12"/>
  </w:num>
  <w:num w:numId="3">
    <w:abstractNumId w:val="3"/>
  </w:num>
  <w:num w:numId="4">
    <w:abstractNumId w:val="13"/>
  </w:num>
  <w:num w:numId="5">
    <w:abstractNumId w:val="5"/>
  </w:num>
  <w:num w:numId="6">
    <w:abstractNumId w:val="17"/>
  </w:num>
  <w:num w:numId="7">
    <w:abstractNumId w:val="24"/>
  </w:num>
  <w:num w:numId="8">
    <w:abstractNumId w:val="22"/>
  </w:num>
  <w:num w:numId="9">
    <w:abstractNumId w:val="19"/>
  </w:num>
  <w:num w:numId="10">
    <w:abstractNumId w:val="1"/>
  </w:num>
  <w:num w:numId="11">
    <w:abstractNumId w:val="8"/>
  </w:num>
  <w:num w:numId="12">
    <w:abstractNumId w:val="38"/>
  </w:num>
  <w:num w:numId="13">
    <w:abstractNumId w:val="32"/>
  </w:num>
  <w:num w:numId="14">
    <w:abstractNumId w:val="9"/>
  </w:num>
  <w:num w:numId="15">
    <w:abstractNumId w:val="28"/>
  </w:num>
  <w:num w:numId="16">
    <w:abstractNumId w:val="36"/>
  </w:num>
  <w:num w:numId="17">
    <w:abstractNumId w:val="7"/>
  </w:num>
  <w:num w:numId="18">
    <w:abstractNumId w:val="11"/>
  </w:num>
  <w:num w:numId="19">
    <w:abstractNumId w:val="39"/>
  </w:num>
  <w:num w:numId="20">
    <w:abstractNumId w:val="40"/>
  </w:num>
  <w:num w:numId="21">
    <w:abstractNumId w:val="33"/>
  </w:num>
  <w:num w:numId="22">
    <w:abstractNumId w:val="25"/>
  </w:num>
  <w:num w:numId="23">
    <w:abstractNumId w:val="23"/>
  </w:num>
  <w:num w:numId="24">
    <w:abstractNumId w:val="27"/>
  </w:num>
  <w:num w:numId="25">
    <w:abstractNumId w:val="15"/>
  </w:num>
  <w:num w:numId="26">
    <w:abstractNumId w:val="4"/>
  </w:num>
  <w:num w:numId="27">
    <w:abstractNumId w:val="0"/>
  </w:num>
  <w:num w:numId="28">
    <w:abstractNumId w:val="37"/>
  </w:num>
  <w:num w:numId="29">
    <w:abstractNumId w:val="26"/>
  </w:num>
  <w:num w:numId="30">
    <w:abstractNumId w:val="14"/>
  </w:num>
  <w:num w:numId="31">
    <w:abstractNumId w:val="2"/>
  </w:num>
  <w:num w:numId="32">
    <w:abstractNumId w:val="16"/>
  </w:num>
  <w:num w:numId="33">
    <w:abstractNumId w:val="31"/>
  </w:num>
  <w:num w:numId="34">
    <w:abstractNumId w:val="20"/>
  </w:num>
  <w:num w:numId="35">
    <w:abstractNumId w:val="18"/>
  </w:num>
  <w:num w:numId="36">
    <w:abstractNumId w:val="21"/>
  </w:num>
  <w:num w:numId="37">
    <w:abstractNumId w:val="10"/>
  </w:num>
  <w:num w:numId="38">
    <w:abstractNumId w:val="34"/>
  </w:num>
  <w:num w:numId="39">
    <w:abstractNumId w:val="35"/>
  </w:num>
  <w:num w:numId="40">
    <w:abstractNumId w:val="29"/>
  </w:num>
  <w:num w:numId="41">
    <w:abstractNumId w:val="6"/>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5777B0"/>
    <w:rsid w:val="005777B0"/>
    <w:rsid w:val="00DD48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CFA46-BA23-4142-9D90-98F1B5292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Textbody">
    <w:name w:val="Text body"/>
    <w:basedOn w:val="Standard"/>
    <w:pPr>
      <w:spacing w:after="140" w:line="276" w:lineRule="auto"/>
    </w:p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Default">
    <w:name w:val="Default"/>
    <w:pPr>
      <w:suppressAutoHyphens/>
      <w:autoSpaceDE w:val="0"/>
    </w:pPr>
    <w:rPr>
      <w:rFonts w:ascii="標楷體....." w:eastAsia="標楷體....." w:hAnsi="標楷體....." w:cs="標楷體....."/>
      <w:color w:val="000000"/>
      <w:lang w:bidi="ar-SA"/>
    </w:rPr>
  </w:style>
  <w:style w:type="paragraph" w:styleId="a5">
    <w:name w:val="List Paragraph"/>
    <w:basedOn w:val="Standard"/>
    <w:pPr>
      <w:ind w:left="480"/>
    </w:p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snapToGrid w:val="0"/>
    </w:pPr>
    <w:rPr>
      <w:sz w:val="20"/>
      <w:szCs w:val="20"/>
    </w:rPr>
  </w:style>
  <w:style w:type="paragraph" w:styleId="a7">
    <w:name w:val="footer"/>
    <w:basedOn w:val="Standard"/>
    <w:pPr>
      <w:snapToGrid w:val="0"/>
    </w:pPr>
    <w:rPr>
      <w:sz w:val="20"/>
      <w:szCs w:val="20"/>
    </w:rPr>
  </w:style>
  <w:style w:type="paragraph" w:styleId="a8">
    <w:name w:val="Balloon Text"/>
    <w:basedOn w:val="Standard"/>
    <w:rPr>
      <w:rFonts w:ascii="Calibri Light" w:eastAsia="Calibri Light" w:hAnsi="Calibri Light" w:cs="Calibri Light"/>
      <w:sz w:val="18"/>
      <w:szCs w:val="18"/>
    </w:rPr>
  </w:style>
  <w:style w:type="paragraph" w:styleId="a9">
    <w:name w:val="annotation text"/>
    <w:basedOn w:val="Standard"/>
  </w:style>
  <w:style w:type="paragraph" w:styleId="aa">
    <w:name w:val="annotation subject"/>
    <w:basedOn w:val="a9"/>
    <w:next w:val="a9"/>
    <w:rPr>
      <w:b/>
      <w:bCs/>
    </w:rPr>
  </w:style>
  <w:style w:type="paragraph" w:styleId="HTML">
    <w:name w:val="HTML Preformatted"/>
    <w:basedOn w:val="Standard"/>
    <w:rPr>
      <w:rFonts w:ascii="Courier New" w:eastAsia="Courier New" w:hAnsi="Courier New" w:cs="Courier New"/>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標楷體" w:eastAsia="標楷體" w:hAnsi="標楷體"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color w:val="000000"/>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u w:val="single"/>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color w:val="00000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lang w:val="en-US"/>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color w:val="00000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標楷體"/>
      <w:color w:val="000000"/>
      <w:kern w:val="0"/>
      <w:szCs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b w:val="0"/>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color w:val="00000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ab">
    <w:name w:val="頁首 字元"/>
    <w:rPr>
      <w:sz w:val="20"/>
      <w:szCs w:val="20"/>
    </w:rPr>
  </w:style>
  <w:style w:type="character" w:customStyle="1" w:styleId="ac">
    <w:name w:val="頁尾 字元"/>
    <w:rPr>
      <w:sz w:val="20"/>
      <w:szCs w:val="20"/>
    </w:rPr>
  </w:style>
  <w:style w:type="character" w:customStyle="1" w:styleId="ad">
    <w:name w:val="註解方塊文字 字元"/>
    <w:rPr>
      <w:rFonts w:ascii="Calibri Light" w:eastAsia="新細明體, PMingLiU" w:hAnsi="Calibri Light" w:cs="Times New Roman"/>
      <w:sz w:val="18"/>
      <w:szCs w:val="18"/>
    </w:rPr>
  </w:style>
  <w:style w:type="character" w:customStyle="1" w:styleId="ae">
    <w:name w:val="清單段落 字元"/>
  </w:style>
  <w:style w:type="character" w:styleId="af">
    <w:name w:val="annotation reference"/>
    <w:rPr>
      <w:sz w:val="18"/>
      <w:szCs w:val="18"/>
    </w:rPr>
  </w:style>
  <w:style w:type="character" w:customStyle="1" w:styleId="af0">
    <w:name w:val="註解文字 字元"/>
    <w:basedOn w:val="a0"/>
  </w:style>
  <w:style w:type="character" w:customStyle="1" w:styleId="af1">
    <w:name w:val="註解主旨 字元"/>
    <w:rPr>
      <w:b/>
      <w:bCs/>
    </w:rPr>
  </w:style>
  <w:style w:type="character" w:customStyle="1" w:styleId="HTML0">
    <w:name w:val="HTML 預設格式 字元"/>
    <w:rPr>
      <w:rFonts w:ascii="Courier New" w:eastAsia="Courier New" w:hAnsi="Courier New" w:cs="Courier New"/>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G:/&#23478;&#29801;&#12553;&#22887;&#21305;/0-&#36774;&#27861;&#20462;&#27491;/EMGO/&#30332;&#24067;/(&#30332;&#24067;)&#21319;&#23416;&#20778;&#24453;&#20462;&#27491;&#26781;&#25991;.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1941</Characters>
  <Application>Microsoft Office Word</Application>
  <DocSecurity>0</DocSecurity>
  <Lines>16</Lines>
  <Paragraphs>4</Paragraphs>
  <ScaleCrop>false</ScaleCrop>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陳映璇</dc:creator>
  <cp:lastModifiedBy>user</cp:lastModifiedBy>
  <cp:revision>2</cp:revision>
  <cp:lastPrinted>2024-07-22T02:20:00Z</cp:lastPrinted>
  <dcterms:created xsi:type="dcterms:W3CDTF">2024-08-05T03:35:00Z</dcterms:created>
  <dcterms:modified xsi:type="dcterms:W3CDTF">2024-08-05T03:35:00Z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